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Dr G Speaks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drgspeaks.jrzp.org  |  Teachers' Resource</w:t>
      </w:r>
    </w:p>
    <w:p>
      <w:pPr>
        <w:pStyle w:val="Title"/>
        <w:spacing w:after="40"/>
      </w:pPr>
      <w:r>
        <w:rPr>
          <w:rFonts w:ascii="Calibri" w:cs="Calibri" w:eastAsia="Calibri" w:hAnsi="Calibri"/>
          <w:b/>
          <w:bCs/>
          <w:color w:val="0E7C86"/>
          <w:sz w:val="44"/>
          <w:szCs w:val="44"/>
        </w:rPr>
        <w:t xml:space="preserve">FIRST CONDITIONAL</w:t>
      </w:r>
    </w:p>
    <w:p>
      <w:pPr>
        <w:spacing w:after="220"/>
      </w:pPr>
      <w:r>
        <w:rPr>
          <w:rFonts w:ascii="Calibri" w:cs="Calibri" w:eastAsia="Calibri" w:hAnsi="Calibri"/>
          <w:b/>
          <w:bCs/>
          <w:color w:val="1F2933"/>
          <w:sz w:val="24"/>
          <w:szCs w:val="24"/>
        </w:rPr>
        <w:t xml:space="preserve">A Complete PPP Lesson Plan for Real, Possible Future Situations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800"/>
      </w:tblGrid>
      <w:tr>
        <w:tc>
          <w:tcPr>
            <w:tcW w:type="dxa" w:w="2400"/>
            <w:shd w:fill="E6F3F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7C86"/>
                <w:sz w:val="20"/>
                <w:szCs w:val="20"/>
              </w:rPr>
              <w:t xml:space="preserve">Level</w:t>
            </w:r>
          </w:p>
        </w:tc>
        <w:tc>
          <w:tcPr>
            <w:tcW w:type="dxa" w:w="6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F2933"/>
                <w:sz w:val="20"/>
                <w:szCs w:val="20"/>
              </w:rPr>
              <w:t xml:space="preserve">Pre-Intermediate to Intermediate (A2–B1)  |  Ages 10–14 (adaptable to teens/adults)</w:t>
            </w:r>
          </w:p>
        </w:tc>
      </w:tr>
      <w:tr>
        <w:tc>
          <w:tcPr>
            <w:tcW w:type="dxa" w:w="2400"/>
            <w:shd w:fill="E6F3F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7C86"/>
                <w:sz w:val="20"/>
                <w:szCs w:val="20"/>
              </w:rPr>
              <w:t xml:space="preserve">Duration</w:t>
            </w:r>
          </w:p>
        </w:tc>
        <w:tc>
          <w:tcPr>
            <w:tcW w:type="dxa" w:w="6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F2933"/>
                <w:sz w:val="20"/>
                <w:szCs w:val="20"/>
              </w:rPr>
              <w:t xml:space="preserve">45–50 minutes</w:t>
            </w:r>
          </w:p>
        </w:tc>
      </w:tr>
      <w:tr>
        <w:tc>
          <w:tcPr>
            <w:tcW w:type="dxa" w:w="2400"/>
            <w:shd w:fill="E6F3F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7C86"/>
                <w:sz w:val="20"/>
                <w:szCs w:val="20"/>
              </w:rPr>
              <w:t xml:space="preserve">Framework</w:t>
            </w:r>
          </w:p>
        </w:tc>
        <w:tc>
          <w:tcPr>
            <w:tcW w:type="dxa" w:w="6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F2933"/>
                <w:sz w:val="20"/>
                <w:szCs w:val="20"/>
              </w:rPr>
              <w:t xml:space="preserve">PPP — Presentation, Practice, Production</w:t>
            </w:r>
          </w:p>
        </w:tc>
      </w:tr>
      <w:tr>
        <w:tc>
          <w:tcPr>
            <w:tcW w:type="dxa" w:w="2400"/>
            <w:shd w:fill="E6F3F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7C86"/>
                <w:sz w:val="20"/>
                <w:szCs w:val="20"/>
              </w:rPr>
              <w:t xml:space="preserve">Target language</w:t>
            </w:r>
          </w:p>
        </w:tc>
        <w:tc>
          <w:tcPr>
            <w:tcW w:type="dxa" w:w="6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F2933"/>
                <w:sz w:val="20"/>
                <w:szCs w:val="20"/>
              </w:rPr>
              <w:t xml:space="preserve">First Conditional: If + present simple, ... will/won't + base form</w:t>
            </w:r>
          </w:p>
        </w:tc>
      </w:tr>
      <w:tr>
        <w:tc>
          <w:tcPr>
            <w:tcW w:type="dxa" w:w="2400"/>
            <w:shd w:fill="E6F3F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7C86"/>
                <w:sz w:val="20"/>
                <w:szCs w:val="20"/>
              </w:rPr>
              <w:t xml:space="preserve">Skills focus</w:t>
            </w:r>
          </w:p>
        </w:tc>
        <w:tc>
          <w:tcPr>
            <w:tcW w:type="dxa" w:w="6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F2933"/>
                <w:sz w:val="20"/>
                <w:szCs w:val="20"/>
              </w:rPr>
              <w:t xml:space="preserve">Speaking (fluency &amp; accuracy), listening, grammar in context</w:t>
            </w:r>
          </w:p>
        </w:tc>
      </w:tr>
      <w:tr>
        <w:tc>
          <w:tcPr>
            <w:tcW w:type="dxa" w:w="2400"/>
            <w:shd w:fill="E6F3F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7C86"/>
                <w:sz w:val="20"/>
                <w:szCs w:val="20"/>
              </w:rPr>
              <w:t xml:space="preserve">Materials</w:t>
            </w:r>
          </w:p>
        </w:tc>
        <w:tc>
          <w:tcPr>
            <w:tcW w:type="dxa" w:w="6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F2933"/>
                <w:sz w:val="20"/>
                <w:szCs w:val="20"/>
              </w:rPr>
              <w:t xml:space="preserve">First Conditional Worksheet (editable PDF), Answer Key, board/screen, slips of paper for the production activity</w:t>
            </w:r>
          </w:p>
        </w:tc>
      </w:tr>
      <w:tr>
        <w:tc>
          <w:tcPr>
            <w:tcW w:type="dxa" w:w="2400"/>
            <w:shd w:fill="E6F3F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E7C86"/>
                <w:sz w:val="20"/>
                <w:szCs w:val="20"/>
              </w:rPr>
              <w:t xml:space="preserve">Learning objective</w:t>
            </w:r>
          </w:p>
        </w:tc>
        <w:tc>
          <w:tcPr>
            <w:tcW w:type="dxa" w:w="6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F2933"/>
                <w:sz w:val="20"/>
                <w:szCs w:val="20"/>
              </w:rPr>
              <w:t xml:space="preserve">By the end of the lesson, students will be able to form and use the first conditional accurately to talk about real, possible future situations and their results.</w:t>
            </w:r>
          </w:p>
        </w:tc>
      </w:tr>
    </w:tbl>
    <w:p>
      <w:pPr>
        <w:spacing w:after="200"/>
      </w:pPr>
    </w:p>
    <w:p>
      <w:pPr>
        <w:pBdr>
          <w:bottom w:val="single" w:color="0E7C86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E7C86"/>
          <w:sz w:val="26"/>
          <w:szCs w:val="26"/>
        </w:rPr>
        <w:t xml:space="preserve">Lesson Aims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Main aim: to introduce and practise the form, meaning and use of the first conditional.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Secondary aim: to give students speaking fluency practice using real, personalised conditional sentences.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Personal aim: to increase the ratio of student talking time (STT) to teacher talking time (TTT) through pair and group work.</w:t>
      </w:r>
    </w:p>
    <w:p>
      <w:pPr>
        <w:pBdr>
          <w:bottom w:val="single" w:color="0E7C86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E7C86"/>
          <w:sz w:val="26"/>
          <w:szCs w:val="26"/>
        </w:rPr>
        <w:t xml:space="preserve">1. Warm-Up / Lead-In</w:t>
      </w: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   (5 minutes)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Write on the board: “What will you do this weekend?” Elicit 2–3 quick answers from the class.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Add a condition: “What will you do this weekend IF it rains?” Elicit answers again and draw attention to the change.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Tell students: “Today we are going to learn how to talk about real possibilities in the future — the First Conditional.”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Interaction: Whole class, open class questioning.</w:t>
      </w:r>
    </w:p>
    <w:p>
      <w:pPr>
        <w:pBdr>
          <w:bottom w:val="single" w:color="0E7C86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E7C86"/>
          <w:sz w:val="26"/>
          <w:szCs w:val="26"/>
        </w:rPr>
        <w:t xml:space="preserve">2. Presentation</w:t>
      </w: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   (12 minutes)</w:t>
      </w:r>
    </w:p>
    <w:p>
      <w:pPr>
        <w:spacing w:after="12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Context: Use the weekend-plans context from the warm-up, or the coursebook context (TV, cheese, fish oil) if you are following the accompanying Grammar page (First Conditional, Ex. 4).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Model sentences to board: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If you watch a lot of TV, you'll get square eyes.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If you eat cheese at night, you'll have bad dreams.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If you eat fish oil, it will help to prevent heart problems.</w:t>
      </w:r>
    </w:p>
    <w:p>
      <w:pPr>
        <w:spacing w:after="100" w:before="120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Concept Checking Questions (CCQs):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Is watching TV certain to happen, or possible? — Possible.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Are we talking about the past, present, or future? — Future.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Is the result certain if the condition happens? — Yes, very likely.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Which part is the condition, and which part is the result?</w:t>
      </w:r>
    </w:p>
    <w:p>
      <w:pPr>
        <w:spacing w:after="100" w:before="140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Form: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600"/>
      </w:tblGrid>
      <w:tr>
        <w:tc>
          <w:tcPr>
            <w:tcW w:type="dxa" w:w="4600"/>
            <w:shd w:fill="0E7C8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If clause</w:t>
            </w:r>
          </w:p>
        </w:tc>
        <w:tc>
          <w:tcPr>
            <w:tcW w:type="dxa" w:w="4600"/>
            <w:shd w:fill="0E7C8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Result clause</w:t>
            </w:r>
          </w:p>
        </w:tc>
      </w:tr>
      <w:tr>
        <w:tc>
          <w:tcPr>
            <w:tcW w:type="dxa" w:w="4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F2933"/>
                <w:sz w:val="20"/>
                <w:szCs w:val="20"/>
              </w:rPr>
              <w:t xml:space="preserve">If + present simple
e.g. If it rains,</w:t>
            </w:r>
          </w:p>
        </w:tc>
        <w:tc>
          <w:tcPr>
            <w:tcW w:type="dxa" w:w="4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F2933"/>
                <w:sz w:val="20"/>
                <w:szCs w:val="20"/>
              </w:rPr>
              <w:t xml:space="preserve">will / won't + base form
e.g. ... we will stay at home.</w:t>
            </w:r>
          </w:p>
        </w:tc>
      </w:tr>
    </w:tbl>
    <w:p>
      <w:pPr>
        <w:spacing w:after="100" w:before="140"/>
      </w:pPr>
    </w:p>
    <w:p>
      <w:pPr>
        <w:spacing w:after="100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Highlight on the board: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The if-clause uses the present simple — NOT will — even though we are talking about the future.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The result clause can also use won't for negative results: If you don't sleep, you won't concentrate.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The clauses can swap order: If you fall, you'll hurt yourself. OR You'll hurt yourself if you fall.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 comma is used only when the if-clause comes first.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Drill 3–4 example sentences chorally and individually for pronunciation of the contraction 'll and the linking in “if it…”.</w:t>
      </w:r>
    </w:p>
    <w:p>
      <w:pPr>
        <w:pBdr>
          <w:bottom w:val="single" w:color="0E7C86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E7C86"/>
          <w:sz w:val="26"/>
          <w:szCs w:val="26"/>
        </w:rPr>
        <w:t xml:space="preserve">3. Controlled Practice</w:t>
      </w: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   (15 minutes)</w:t>
      </w:r>
    </w:p>
    <w:p>
      <w:pPr>
        <w:spacing w:after="12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Hand out (or share the link to) the First Conditional Worksheet. Students complete Sections A–C individually, then check in pairs before whole-class feedback.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Section A (Q1–10): Students write the correct present simple form of the verb in the if-clause. Monitor for third-person -s.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Section B (Q11–20): Students write will/won't + base form in the result clause. Monitor for base-form errors (e.g. “will goes”).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Section C (Q21–35): Multiple choice — students tick the correct option. Fast finishers can compare answers with a partner before feedback.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Nominate students to read out full sentences for whole-class feedback; use the Answer Key to confirm.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ICQs before students start: “Are we writing full sentences or just the missing word? Just the missing word. Are we working alone first, or with a partner? Alone first.”</w:t>
      </w:r>
    </w:p>
    <w:p>
      <w:pPr>
        <w:pBdr>
          <w:bottom w:val="single" w:color="0E7C86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E7C86"/>
          <w:sz w:val="26"/>
          <w:szCs w:val="26"/>
        </w:rPr>
        <w:t xml:space="preserve">4. Freer Practice / Production</w:t>
      </w: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   (10 minutes)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Activity: Conditional Chain Story</w:t>
      </w:r>
    </w:p>
    <w:p>
      <w:pPr>
        <w:pStyle w:val="ListParagraph"/>
        <w:numPr>
          <w:ilvl w:val="0"/>
          <w:numId w:val="5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Put students into groups of 3–4.</w:t>
      </w:r>
    </w:p>
    <w:p>
      <w:pPr>
        <w:pStyle w:val="ListParagraph"/>
        <w:numPr>
          <w:ilvl w:val="0"/>
          <w:numId w:val="5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Give the first group a starter sentence, e.g. “If I don't do my homework tonight…”</w:t>
      </w:r>
    </w:p>
    <w:p>
      <w:pPr>
        <w:pStyle w:val="ListParagraph"/>
        <w:numPr>
          <w:ilvl w:val="0"/>
          <w:numId w:val="5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One student completes the result clause aloud, e.g. “…my teacher will be angry.”</w:t>
      </w:r>
    </w:p>
    <w:p>
      <w:pPr>
        <w:pStyle w:val="ListParagraph"/>
        <w:numPr>
          <w:ilvl w:val="0"/>
          <w:numId w:val="5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The next student turns that result into a NEW if-clause: “If my teacher is angry, she’ll call my parents.” and so on, building a chain of at least 6 linked sentences.</w:t>
      </w:r>
    </w:p>
    <w:p>
      <w:pPr>
        <w:pStyle w:val="ListParagraph"/>
        <w:numPr>
          <w:ilvl w:val="0"/>
          <w:numId w:val="5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Groups perform their funniest or most surprising chain for the class.</w:t>
      </w:r>
    </w:p>
    <w:p>
      <w:pPr>
        <w:spacing w:after="100" w:before="140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Alternative / extra activity: First Conditional Survey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Students walk around asking classmates questions such as “What will you do if you win the lottery?” or “What will happen if you don't sleep tonight?” and note down 3 interesting answers to report back.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Monitor both activities closely and note down common errors for delayed (not on-the-spot) correction at the end — this protects fluency during the speaking stage.</w:t>
      </w:r>
    </w:p>
    <w:p>
      <w:pPr>
        <w:pBdr>
          <w:bottom w:val="single" w:color="0E7C86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E7C86"/>
          <w:sz w:val="26"/>
          <w:szCs w:val="26"/>
        </w:rPr>
        <w:t xml:space="preserve">5. Wrap-Up &amp; Delayed Error Correction</w:t>
      </w:r>
      <w:r>
        <w:rPr>
          <w:rFonts w:ascii="Calibri" w:cs="Calibri" w:eastAsia="Calibri" w:hAnsi="Calibri"/>
          <w:i/>
          <w:iCs/>
          <w:color w:val="6B7280"/>
          <w:sz w:val="20"/>
          <w:szCs w:val="20"/>
        </w:rPr>
        <w:t xml:space="preserve">   (5 minutes)</w:t>
      </w:r>
    </w:p>
    <w:p>
      <w:pPr>
        <w:pStyle w:val="ListParagraph"/>
        <w:numPr>
          <w:ilvl w:val="0"/>
          <w:numId w:val="6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Write 3–4 anonymised errors collected during monitoring on the board (mix of correct and incorrect sentences).</w:t>
      </w:r>
    </w:p>
    <w:p>
      <w:pPr>
        <w:pStyle w:val="ListParagraph"/>
        <w:numPr>
          <w:ilvl w:val="0"/>
          <w:numId w:val="6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Elicit corrections from the class — do not correct yourself first.</w:t>
      </w:r>
    </w:p>
    <w:p>
      <w:pPr>
        <w:pStyle w:val="ListParagraph"/>
        <w:numPr>
          <w:ilvl w:val="0"/>
          <w:numId w:val="6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Ask 1–2 CCQs again to check the concept has stuck, e.g. “Is the situation certain or possible?”</w:t>
      </w:r>
    </w:p>
    <w:p>
      <w:pPr>
        <w:pStyle w:val="ListParagraph"/>
        <w:numPr>
          <w:ilvl w:val="0"/>
          <w:numId w:val="6"/>
        </w:numPr>
        <w:spacing w:after="9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Set homework and close the lesson.</w:t>
      </w:r>
    </w:p>
    <w:p>
      <w:pPr>
        <w:pBdr>
          <w:bottom w:val="single" w:color="0E7C86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E7C86"/>
          <w:sz w:val="26"/>
          <w:szCs w:val="26"/>
        </w:rPr>
        <w:t xml:space="preserve">Homework</w:t>
      </w:r>
    </w:p>
    <w:p>
      <w:pPr>
        <w:spacing w:after="12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Students complete Sections D and E of the First Conditional Worksheet independently: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Section D (Q36–45): open sentence completion using their own ideas.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Section E (Q46–50): identify whether a sentence uses the first conditional correctly.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Answers can be self-checked or teacher-checked against the accompanying Answer Key.</w:t>
      </w:r>
    </w:p>
    <w:p>
      <w:pPr>
        <w:pBdr>
          <w:bottom w:val="single" w:color="0E7C86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E7C86"/>
          <w:sz w:val="26"/>
          <w:szCs w:val="26"/>
        </w:rPr>
        <w:t xml:space="preserve">Differentiation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Support: give lower-level students a bank of if-clauses and result clauses on cards to match and read aloud before the chain-story activity.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Stretch: challenge stronger students to include a second conditional sentence in their chain and explain, in their own words, why it is different.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Early finishers on the worksheet move straight to Section D and begin drafting their own sentences.</w:t>
      </w:r>
    </w:p>
    <w:p>
      <w:pPr>
        <w:pBdr>
          <w:bottom w:val="single" w:color="0E7C86" w:sz="6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E7C86"/>
          <w:sz w:val="26"/>
          <w:szCs w:val="26"/>
        </w:rPr>
        <w:t xml:space="preserve">Assessment / Success Criteria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Can students correctly form the if-clause using the present simple? (Worksheet Sections A, C)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Can students correctly form the result clause using will/won't + base form? (Worksheet Sections B, C)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Can students produce original, meaningful first conditional sentences in speech? (Production stage)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Can students identify correct vs incorrect use of the first conditional? (Worksheet Section E)</w:t>
      </w:r>
    </w:p>
    <w:p>
      <w:pPr>
        <w:pBdr>
          <w:bottom w:val="single" w:color="0E7C86" w:sz="8" w:space="1"/>
        </w:pBdr>
        <w:spacing w:after="160"/>
      </w:pPr>
    </w:p>
    <w:p>
      <w:pPr>
        <w:spacing w:after="6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Companion resources: First Conditional Worksheet (Editable PDF) — 50 questions across 5 sections, and the matching Answer Key.</w:t>
      </w:r>
    </w:p>
    <w:p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© Dr G Speaks | drgspeaks.jrzp.org — Teachers' Resources</w:t>
      </w:r>
    </w:p>
    <w:sectPr>
      <w:headerReference w:type="default" r:id="rId7"/>
      <w:footerReference w:type="default" r:id="rId8"/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E7C86" w:sz="6" w:space="4"/>
      </w:pBdr>
      <w:tabs>
        <w:tab w:val="right" w:pos="9360"/>
      </w:tabs>
    </w:pPr>
    <w:r>
      <w:rPr>
        <w:rFonts w:ascii="Calibri" w:cs="Calibri" w:eastAsia="Calibri" w:hAnsi="Calibri"/>
        <w:i/>
        <w:iCs/>
        <w:color w:val="6B7280"/>
        <w:sz w:val="16"/>
        <w:szCs w:val="16"/>
      </w:rPr>
      <w:t xml:space="preserve">drgspeaks.jrzp.org</w:t>
    </w:r>
    <w:r>
      <w:rPr>
        <w:rFonts w:ascii="Calibri" w:cs="Calibri" w:eastAsia="Calibri" w:hAnsi="Calibri"/>
        <w:i/>
        <w:iCs/>
        <w:color w:val="6B7280"/>
        <w:sz w:val="16"/>
        <w:szCs w:val="16"/>
      </w:rPr>
      <w:t xml:space="preserve">	Page </w:t>
    </w:r>
    <w:r>
      <w:rPr>
        <w:rFonts w:ascii="Calibri" w:cs="Calibri" w:eastAsia="Calibri" w:hAnsi="Calibri"/>
        <w:i/>
        <w:iCs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i/>
        <w:iCs/>
        <w:color w:val="6B7280"/>
        <w:sz w:val="16"/>
        <w:szCs w:val="16"/>
      </w:rPr>
      <w:t xml:space="preserve"> of </w:t>
    </w:r>
    <w:r>
      <w:rPr>
        <w:rFonts w:ascii="Calibri" w:cs="Calibri" w:eastAsia="Calibri" w:hAnsi="Calibri"/>
        <w:i/>
        <w:iCs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7C86" w:sz="6" w:space="4"/>
      </w:pBdr>
      <w:tabs>
        <w:tab w:val="right" w:pos="9360"/>
      </w:tabs>
    </w:pPr>
    <w:r>
      <w:rPr>
        <w:rFonts w:ascii="Calibri" w:cs="Calibri" w:eastAsia="Calibri" w:hAnsi="Calibri"/>
        <w:b/>
        <w:bCs/>
        <w:color w:val="0E7C86"/>
        <w:sz w:val="18"/>
        <w:szCs w:val="18"/>
      </w:rPr>
      <w:t xml:space="preserve">Dr G Speaks</w:t>
    </w:r>
    <w:r>
      <w:rPr>
        <w:rFonts w:ascii="Calibri" w:cs="Calibri" w:eastAsia="Calibri" w:hAnsi="Calibri"/>
        <w:i/>
        <w:iCs/>
        <w:color w:val="6B7280"/>
        <w:sz w:val="16"/>
        <w:szCs w:val="16"/>
      </w:rPr>
      <w:t xml:space="preserve">	First Conditional — Lesson 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2026-09-03T08:05:08.352Z</dcterms:created>
  <dcterms:modified xsi:type="dcterms:W3CDTF">2026-09-03T08:05:08.352Z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